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a416l8zpy9d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ISWK [Cambridge] – Discipline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douoi4dyy3e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Purpose &amp; Principles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ISWK [Cambridge] aims to foster a safe, respectful, and supportive learning environment. The discipline policy promotes responsibility, accountability, and positive behavior among students. Discipline measures are designed to be fair, consistent, and constructive.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qji3a9wyjq7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Scope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Applies to all students enrolled from Kindergarten through A‑Level, both on-campus and during sanctioned school activities off-campus.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g2hzhtzsc5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Code of Conduct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2f8jnboioak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a. Expected Behavior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Demonstrate respect to peers, teachers, staff, and property.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punctuality, correct uniform, and personal hygiene.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 respectful language; refrain from foul, abusive, or disrespectful speech.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Speak primarily in English during school hours.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Keep the school premises clean and free of vandalism; use waste bins appropriately.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Refrain from bringing prohibited items—including mobile phones, smartwatches, tobacco, or obscene materials—to school.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Accept responsibility for school property and personal belongings.</w:t>
        <w:br w:type="textWrapping"/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mz82x3sbdyr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b. Prohibited Behavior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Truancy and leaving school premises without permission.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Cheating, plagiarism, or use of unfair means in assessments.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Bullying, including online or social media misuse targeting school, students, or staff.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Physical misconduct or serious offenses like smoking, drinking, misbehavior, or sexual/immoral conduct on campus.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Tattoos or body markings within school premises.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h2oktcu53dg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Disciplinary Measures: The Color-Card System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Based on the severity of infractions: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5.77685088634"/>
        <w:gridCol w:w="3621.0218978102193"/>
        <w:gridCol w:w="2479.082377476538"/>
        <w:gridCol w:w="2274.118873826903"/>
        <w:tblGridChange w:id="0">
          <w:tblGrid>
            <w:gridCol w:w="985.77685088634"/>
            <w:gridCol w:w="3621.0218978102193"/>
            <w:gridCol w:w="2479.082377476538"/>
            <w:gridCol w:w="2274.118873826903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Card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Offense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Withdrawal?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Blue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Minor infractions (e.g., uniform violations, first instance of lateness)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Class Teacher / Subject Teacher with HOD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Yes, upon behavior improvement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Yellow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Moderate infractions (e.g., repeated lateness, disrespect, unauthorized departure, minor damage, truancy)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Vice Principal with Discipline Committee &amp; HOD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Yes, upon improvement</w:t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Severe infractions (e.g., bullying, immorality, abuse of social media, physical harm, smoking/drinking, repeated serious misconduct)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Principal, with Vice‑Principal, Discipline Committee &amp; Student Council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  <w:t xml:space="preserve"> (non‑withdrawable)</w:t>
            </w:r>
          </w:p>
        </w:tc>
      </w:tr>
    </w:tbl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First and second warnings</w:t>
      </w:r>
      <w:r w:rsidDel="00000000" w:rsidR="00000000" w:rsidRPr="00000000">
        <w:rPr>
          <w:rtl w:val="0"/>
        </w:rPr>
        <w:t xml:space="preserve"> precede escalations within each category.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Blue or Yellow cards may be removed if sustained improvement in conduct is demonstrated. A Red Card is final and non-retractable.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Final disciplinary action lies with the School Disciplinary Committee, the Vice Principal, Principal, and School Management.</w:t>
        <w:br w:type="textWrapping"/>
        <w:t xml:space="preserve">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ISWK</w:t>
        </w:r>
      </w:hyperlink>
      <w:r w:rsidDel="00000000" w:rsidR="00000000" w:rsidRPr="00000000">
        <w:rPr>
          <w:rtl w:val="0"/>
        </w:rPr>
        <w:t xml:space="preserve">,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AnyFlip</w:t>
        </w:r>
      </w:hyperlink>
      <w:r w:rsidDel="00000000" w:rsidR="00000000" w:rsidRPr="00000000">
        <w:rPr>
          <w:rtl w:val="0"/>
        </w:rPr>
        <w:t xml:space="preserve">,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ISWK</w:t>
        </w:r>
      </w:hyperlink>
      <w:r w:rsidDel="00000000" w:rsidR="00000000" w:rsidRPr="00000000">
        <w:rPr>
          <w:rtl w:val="0"/>
        </w:rPr>
        <w:t xml:space="preserve">,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iswki.org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fe0c3xaw0lw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Bullying &amp; Online Misconduct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Bullying or harassment—whether in-person or online—is strictly prohibited and triggers immediate disciplinary action.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Misuse of social media to harm the school, peers, or staff is treated as a </w:t>
      </w:r>
      <w:r w:rsidDel="00000000" w:rsidR="00000000" w:rsidRPr="00000000">
        <w:rPr>
          <w:b w:val="1"/>
          <w:rtl w:val="0"/>
        </w:rPr>
        <w:t xml:space="preserve">Red Card</w:t>
      </w:r>
      <w:r w:rsidDel="00000000" w:rsidR="00000000" w:rsidRPr="00000000">
        <w:rPr>
          <w:rtl w:val="0"/>
        </w:rPr>
        <w:t xml:space="preserve"> offense.</w:t>
        <w:br w:type="textWrapping"/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f7rjo33y63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Role of Parents &amp; Guardians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Parents’ cooperation is essential in reinforcing conduct expectations: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children arrive on time and in proper uniform.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Monitor completion of homework and engagement with school assignments.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Review and countersign entries in the school almanac.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Inform the school of absences in advance and provide medical certificates as needed.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Keep contact information up-to-date and communicate any concerns through appropriate channels.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Restrict interaction with students or staff during school hours unless permission is granted.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the school’s disciplinary decisions and pose concerns through formal procedures only.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4p9tm7zhyvx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Implementation &amp; Record‑Keeping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Disciplinary incidents and color‑card issuance recorded in student files.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Follow-up reviews conducted to assess improvements.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Parents are notified promptly when disciplinary action is applied, especially in Yellow or Red cases.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pk3uw1bohai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Appeals &amp; Review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Students or parents can request a review of disciplinary decisions through a formal channel.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Appeals are addressed by the Disciplinary Committee, with oversight by school leadership.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ppyxr7grdj0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Review &amp; Updates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Discipline Policy is reviewed periodically to align with evolving school values and regulations. Updates are communicated to students, parents, and staff via official channels.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o3ibddmoy4c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Summary Flow of Disciplinary Action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Incident occurs and is evaluated.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Appropriate card issued (Blue, Yellow, or Red).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Parent is notified (verbally or in writing).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Behavior follow-up conducted; repeat offenses escalate consequences.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Card withdrawal possible for Blue/Yellow with sustained improvement; Red stands permanently.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Appeals processed through established review procedures.</w:t>
        <w:br w:type="textWrapping"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swki.org/downloads/ISWKI_TheDICE-EditionNo7.pdf?utm_source=chatgpt.com" TargetMode="External"/><Relationship Id="rId10" Type="http://schemas.openxmlformats.org/officeDocument/2006/relationships/hyperlink" Target="https://www.iswkoman.com/downloads/aca_cal_2018-19.pdf?utm_source=chatgpt.com" TargetMode="External"/><Relationship Id="rId12" Type="http://schemas.openxmlformats.org/officeDocument/2006/relationships/hyperlink" Target="https://iswki.org/downloads/ISWKI_TheDICE-EditionNo7.pdf?utm_source=chatgpt.com" TargetMode="External"/><Relationship Id="rId9" Type="http://schemas.openxmlformats.org/officeDocument/2006/relationships/hyperlink" Target="https://www.iswkoman.com/downloads/aca_cal_2018-19.pdf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iswkoman.com/emagazine/calender2021/files/basic-html/page49.html?utm_source=chatgpt.com" TargetMode="External"/><Relationship Id="rId7" Type="http://schemas.openxmlformats.org/officeDocument/2006/relationships/hyperlink" Target="https://anyflip.com/vkrf/ugtg/basic?utm_source=chatgpt.com" TargetMode="External"/><Relationship Id="rId8" Type="http://schemas.openxmlformats.org/officeDocument/2006/relationships/hyperlink" Target="https://anyflip.com/vkrf/ugtg/basic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